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media/image2.svg" ContentType="image/sv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58CC1E">
      <w:pPr>
        <w:pStyle w:val="10"/>
        <w:rPr>
          <w:rFonts w:hint="eastAsia"/>
        </w:rPr>
      </w:pPr>
      <w:r>
        <w:rPr>
          <w:rFonts w:hint="eastAsia"/>
          <w:lang w:val="en-US" w:eastAsia="zh-CN"/>
        </w:rPr>
        <w:t>2025</w:t>
      </w:r>
      <w:r>
        <w:rPr>
          <w:rFonts w:hint="eastAsia"/>
        </w:rPr>
        <w:t>全国大学生信息安全</w:t>
      </w:r>
      <w:r>
        <w:rPr>
          <w:rFonts w:hint="eastAsia"/>
          <w:lang w:val="en-US" w:eastAsia="zh-CN"/>
        </w:rPr>
        <w:t>竞赛</w:t>
      </w:r>
      <w:r>
        <w:rPr>
          <w:rFonts w:hint="eastAsia"/>
        </w:rPr>
        <w:t>创新能力赛</w:t>
      </w:r>
    </w:p>
    <w:p w14:paraId="69853C89">
      <w:pPr>
        <w:pStyle w:val="10"/>
      </w:pPr>
      <w:r>
        <w:rPr>
          <w:rFonts w:hint="eastAsia"/>
          <w:lang w:val="en-US" w:eastAsia="zh-CN"/>
        </w:rPr>
        <w:t>决赛可信</w:t>
      </w:r>
      <w:r>
        <w:rPr>
          <w:rFonts w:hint="eastAsia"/>
        </w:rPr>
        <w:t>赛题</w:t>
      </w:r>
    </w:p>
    <w:p w14:paraId="665B0D8E">
      <w:pPr>
        <w:pStyle w:val="10"/>
      </w:pPr>
      <w:r>
        <w:rPr>
          <w:rFonts w:hint="eastAsia"/>
        </w:rPr>
        <w:t>——</w:t>
      </w:r>
      <w:r>
        <w:rPr>
          <w:rFonts w:hint="eastAsia"/>
          <w:lang w:val="en-US" w:eastAsia="zh-CN"/>
        </w:rPr>
        <w:t>以组件封装方式实现</w:t>
      </w:r>
      <w:r>
        <w:rPr>
          <w:rFonts w:hint="eastAsia"/>
          <w:lang w:eastAsia="zh-CN"/>
        </w:rPr>
        <w:t>平台</w:t>
      </w:r>
      <w:r>
        <w:rPr>
          <w:rFonts w:hint="eastAsia"/>
          <w:lang w:val="en-US" w:eastAsia="zh-CN"/>
        </w:rPr>
        <w:t>的PIK证书签发</w:t>
      </w:r>
    </w:p>
    <w:p w14:paraId="4D5CF6C6">
      <w:pPr>
        <w:ind w:firstLine="402" w:firstLineChars="200"/>
        <w:jc w:val="center"/>
        <w:rPr>
          <w:b/>
          <w:sz w:val="20"/>
          <w:szCs w:val="18"/>
        </w:rPr>
      </w:pPr>
    </w:p>
    <w:p w14:paraId="1B710D02">
      <w:pPr>
        <w:pStyle w:val="3"/>
      </w:pPr>
      <w:r>
        <w:rPr>
          <w:rFonts w:hint="eastAsia"/>
        </w:rPr>
        <w:t xml:space="preserve"> </w:t>
      </w:r>
      <w:r>
        <w:t xml:space="preserve"> </w:t>
      </w:r>
      <w:r>
        <w:rPr>
          <w:rFonts w:hint="eastAsia"/>
        </w:rPr>
        <w:t>一 题目描述：</w:t>
      </w:r>
    </w:p>
    <w:p w14:paraId="36F37289">
      <w:pPr>
        <w:ind w:firstLine="480" w:firstLineChars="200"/>
        <w:rPr>
          <w:rFonts w:hint="eastAsia"/>
          <w:lang w:val="en-US" w:eastAsia="zh-CN"/>
        </w:rPr>
      </w:pPr>
      <w:r>
        <w:rPr>
          <w:rFonts w:hint="eastAsia"/>
          <w:lang w:val="en-US" w:eastAsia="zh-CN"/>
        </w:rPr>
        <w:t>某公司购买了一台安装了TCM芯片的电脑，公司中将使用电脑的用户分为三种类型：管理员（ADMIN），普通用户（USER），访客（GUEST）。为了实现电脑的远程认证和数据保护功能，公司要求所有用户都需要在公司电脑上预先申请PIK证书，并在一个服务器上提供PIK证书签发服务，要求只有公司分配的主要使用者和临时使用者才可以申请PIK证书，且申请内容必须正确标识出用户的类型。</w:t>
      </w:r>
    </w:p>
    <w:p w14:paraId="1AF8FD59">
      <w:pPr>
        <w:ind w:firstLine="480" w:firstLineChars="200"/>
        <w:rPr>
          <w:rFonts w:hint="eastAsia"/>
          <w:lang w:val="en-US" w:eastAsia="zh-CN"/>
        </w:rPr>
      </w:pPr>
      <w:r>
        <w:rPr>
          <w:rFonts w:hint="eastAsia"/>
          <w:lang w:val="en-US" w:eastAsia="zh-CN"/>
        </w:rPr>
        <w:t>公司使用了一个用于PIK证书签发的安全可信功能组件来完成PIK签发操作。管理员小张发现，服务器PIK证书签发服务并未检查证书上的用户类型，而是对所有来自于公司电脑的PIK申请都会签名认可，不检查用户类型是否符合预期。小张查询了组件的说明文档后发现，该组件给出了一个决策模块代码框架依托这一框架，可以开发一个模块来嵌入到组件中，实现证书中用户信息的检查。</w:t>
      </w:r>
    </w:p>
    <w:p w14:paraId="2B18BA43">
      <w:pPr>
        <w:ind w:firstLine="480" w:firstLineChars="200"/>
        <w:rPr>
          <w:rFonts w:hint="default"/>
          <w:lang w:val="en-US" w:eastAsia="zh-CN"/>
        </w:rPr>
      </w:pPr>
      <w:r>
        <w:rPr>
          <w:rFonts w:hint="eastAsia"/>
          <w:lang w:val="en-US" w:eastAsia="zh-CN"/>
        </w:rPr>
        <w:t>你能否帮助小张完成决策模块的开发，让服务器可以鉴别PIK证书中用户类型是否正确，防止签发错误的PIK证书？</w:t>
      </w:r>
    </w:p>
    <w:p w14:paraId="07CDF46B">
      <w:pPr>
        <w:ind w:firstLine="480" w:firstLineChars="200"/>
        <w:rPr>
          <w:rFonts w:hint="eastAsia"/>
          <w:lang w:val="en-US" w:eastAsia="zh-CN"/>
        </w:rPr>
      </w:pPr>
    </w:p>
    <w:p w14:paraId="4210450C">
      <w:pPr>
        <w:keepNext/>
        <w:keepLines/>
        <w:spacing w:before="260" w:after="260" w:line="416" w:lineRule="auto"/>
        <w:outlineLvl w:val="1"/>
        <w:rPr>
          <w:rFonts w:asciiTheme="majorHAnsi" w:hAnsiTheme="majorHAnsi" w:eastAsiaTheme="majorEastAsia" w:cstheme="majorBidi"/>
          <w:b/>
          <w:bCs/>
          <w:sz w:val="32"/>
          <w:szCs w:val="32"/>
        </w:rPr>
      </w:pPr>
      <w:r>
        <w:rPr>
          <w:rFonts w:hint="eastAsia" w:asciiTheme="majorHAnsi" w:hAnsiTheme="majorHAnsi" w:eastAsiaTheme="majorEastAsia" w:cstheme="majorBidi"/>
          <w:b/>
          <w:bCs/>
          <w:sz w:val="32"/>
          <w:szCs w:val="32"/>
        </w:rPr>
        <w:t>二 题目环境：</w:t>
      </w:r>
    </w:p>
    <w:p w14:paraId="0C085B27">
      <w:pPr>
        <w:ind w:firstLine="420" w:firstLineChars="200"/>
        <w:rPr>
          <w:rFonts w:hint="default"/>
          <w:lang w:val="en-US" w:eastAsia="zh-CN"/>
        </w:rPr>
      </w:pPr>
      <w:r>
        <w:rPr>
          <w:sz w:val="21"/>
        </w:rPr>
        <w:t xml:space="preserve">  </w:t>
      </w:r>
      <w:r>
        <w:rPr>
          <w:rFonts w:hint="eastAsia"/>
        </w:rPr>
        <w:t>本题目为“兵棋“模式新型</w:t>
      </w:r>
      <w:r>
        <w:rPr>
          <w:rFonts w:hint="eastAsia"/>
          <w:lang w:val="en-US" w:eastAsia="zh-CN"/>
        </w:rPr>
        <w:t>自主</w:t>
      </w:r>
      <w:r>
        <w:rPr>
          <w:rFonts w:hint="eastAsia"/>
        </w:rPr>
        <w:t>可信计算赛题，示例</w:t>
      </w:r>
      <w:r>
        <w:rPr>
          <w:rFonts w:hint="eastAsia"/>
          <w:lang w:val="en-US" w:eastAsia="zh-CN"/>
        </w:rPr>
        <w:t>基于通用可信基础软搭建，</w:t>
      </w:r>
      <w:r>
        <w:rPr>
          <w:rFonts w:hint="eastAsia"/>
        </w:rPr>
        <w:t>在d</w:t>
      </w:r>
      <w:r>
        <w:t>ocker</w:t>
      </w:r>
      <w:r>
        <w:rPr>
          <w:rFonts w:hint="eastAsia"/>
        </w:rPr>
        <w:t>环境下运行，</w:t>
      </w:r>
      <w:r>
        <w:rPr>
          <w:rFonts w:hint="eastAsia"/>
          <w:lang w:val="en-US" w:eastAsia="zh-CN"/>
        </w:rPr>
        <w:t>用户工作目录为/home/player/tcmenv_reportdemo。通用可信基础软件的介绍见附录1.实现pik签名的机制是tcmenv_reportdemo/instance/CA中的pik_casign组件。</w:t>
      </w:r>
    </w:p>
    <w:p w14:paraId="3BACBB0E">
      <w:pPr>
        <w:ind w:firstLine="480" w:firstLineChars="200"/>
        <w:rPr>
          <w:rFonts w:hint="default"/>
          <w:lang w:val="en-US" w:eastAsia="zh-CN"/>
        </w:rPr>
      </w:pPr>
    </w:p>
    <w:p w14:paraId="24EB878F">
      <w:pPr>
        <w:ind w:firstLine="480" w:firstLineChars="200"/>
        <w:rPr>
          <w:rFonts w:hint="default"/>
          <w:lang w:val="en-US" w:eastAsia="zh-CN"/>
        </w:rPr>
      </w:pPr>
      <w:r>
        <w:rPr>
          <w:rFonts w:hint="eastAsia"/>
          <w:lang w:val="en-US" w:eastAsia="zh-CN"/>
        </w:rPr>
        <w:t>本题从完整的pik证书签发流程中，截取了服务器端证书签发的过程作为赛题背景。服务器端可信软件收到用户发来的PIK证书申请请求后，将其转发给pik_casign组件，由pik_casign组件完成pik证书签发操作。pik_casign组件的接口名称、数据格式、功能介绍等定义见附录2。选手在tcmenv_reportdemo目录下执行tcm_event.sh脚本，即可观察pik证书签发过程。</w:t>
      </w:r>
    </w:p>
    <w:p w14:paraId="421C15CB">
      <w:pPr>
        <w:ind w:firstLine="480" w:firstLineChars="200"/>
        <w:rPr>
          <w:rFonts w:hint="eastAsia"/>
          <w:lang w:val="en-US" w:eastAsia="zh-CN"/>
        </w:rPr>
      </w:pPr>
    </w:p>
    <w:p w14:paraId="25103352">
      <w:pPr>
        <w:ind w:firstLine="480" w:firstLineChars="200"/>
        <w:rPr>
          <w:rFonts w:hint="default"/>
          <w:lang w:val="en-US" w:eastAsia="zh-CN"/>
        </w:rPr>
      </w:pPr>
      <w:r>
        <w:rPr>
          <w:rFonts w:hint="eastAsia"/>
          <w:lang w:val="en-US" w:eastAsia="zh-CN"/>
        </w:rPr>
        <w:t>pik_casign组件预留了pik_usercheck模块作为证书内容检查功能模块。pik_usercheck模块的设计和相关数据结构介绍见附录3。其源码框架则在tcmenv_reportdemo/src/pik_usercheck目录下。</w:t>
      </w:r>
    </w:p>
    <w:p w14:paraId="3F48FA74">
      <w:pPr>
        <w:ind w:firstLine="480" w:firstLineChars="200"/>
        <w:rPr>
          <w:rFonts w:hint="eastAsia"/>
          <w:lang w:val="en-US" w:eastAsia="zh-CN"/>
        </w:rPr>
      </w:pPr>
    </w:p>
    <w:p w14:paraId="14932A6E">
      <w:pPr>
        <w:ind w:firstLine="480" w:firstLineChars="200"/>
        <w:rPr>
          <w:rFonts w:hint="default"/>
          <w:lang w:val="en-US" w:eastAsia="zh-CN"/>
        </w:rPr>
      </w:pPr>
      <w:r>
        <w:rPr>
          <w:rFonts w:hint="eastAsia"/>
          <w:lang w:val="en-US" w:eastAsia="zh-CN"/>
        </w:rPr>
        <w:t>请找到pik_usercheck模块源码中用户验证相关位置，在其中按照题目要求实现用户验证功能，如验证功能正确，执行tcm_event.sh脚本后，错误的证书输出将被拦截，脚本最后输出的数据就是flag值。</w:t>
      </w:r>
    </w:p>
    <w:p w14:paraId="2B7F7458">
      <w:pPr>
        <w:keepNext/>
        <w:keepLines/>
        <w:spacing w:before="260" w:after="260" w:line="416" w:lineRule="auto"/>
        <w:outlineLvl w:val="1"/>
        <w:rPr>
          <w:rFonts w:asciiTheme="majorHAnsi" w:hAnsiTheme="majorHAnsi" w:eastAsiaTheme="majorEastAsia" w:cstheme="majorBidi"/>
          <w:b/>
          <w:bCs/>
          <w:sz w:val="32"/>
          <w:szCs w:val="32"/>
        </w:rPr>
      </w:pPr>
      <w:r>
        <w:rPr>
          <w:rFonts w:hint="eastAsia" w:asciiTheme="majorHAnsi" w:hAnsiTheme="majorHAnsi" w:eastAsiaTheme="majorEastAsia" w:cstheme="majorBidi"/>
          <w:b/>
          <w:bCs/>
          <w:sz w:val="32"/>
          <w:szCs w:val="32"/>
        </w:rPr>
        <w:t>三 解题要求</w:t>
      </w:r>
    </w:p>
    <w:p w14:paraId="238C8B1C">
      <w:pPr>
        <w:ind w:firstLine="480" w:firstLineChars="200"/>
        <w:rPr>
          <w:rFonts w:hint="eastAsia"/>
          <w:lang w:val="en-US" w:eastAsia="zh-CN"/>
        </w:rPr>
      </w:pPr>
      <w:r>
        <w:rPr>
          <w:rFonts w:hint="eastAsia"/>
          <w:lang w:val="en-US" w:eastAsia="zh-CN"/>
        </w:rPr>
        <w:t>解题时，需首先修改pik_usercheck模块代码，编译通过后，运行tcm_event.sh脚本，即可获取到flag值。</w:t>
      </w:r>
    </w:p>
    <w:p w14:paraId="0434D243">
      <w:pPr>
        <w:ind w:firstLine="480" w:firstLineChars="200"/>
        <w:rPr>
          <w:rFonts w:hint="eastAsia"/>
          <w:lang w:val="en-US" w:eastAsia="zh-CN"/>
        </w:rPr>
      </w:pPr>
    </w:p>
    <w:p w14:paraId="68A108AC">
      <w:pPr>
        <w:ind w:firstLine="480" w:firstLineChars="200"/>
        <w:rPr>
          <w:rFonts w:hint="eastAsia"/>
        </w:rPr>
      </w:pPr>
      <w:r>
        <w:rPr>
          <w:rFonts w:hint="eastAsia"/>
          <w:lang w:val="en-US" w:eastAsia="zh-CN"/>
        </w:rPr>
        <w:t>目前，pik_usercheck模块已接入到pik_casign组件的工作流程，用于添加用户信息检查功能，但其目前并未执行任何实际操作。需要在</w:t>
      </w:r>
      <w:r>
        <w:t>src/</w:t>
      </w:r>
      <w:r>
        <w:rPr>
          <w:rFonts w:hint="eastAsia"/>
          <w:lang w:val="en-US" w:eastAsia="zh-CN"/>
        </w:rPr>
        <w:t>pik_usercheck/pik_usercheck.c</w:t>
      </w:r>
      <w:r>
        <w:rPr>
          <w:rFonts w:hint="eastAsia"/>
        </w:rPr>
        <w:t>中</w:t>
      </w:r>
      <w:r>
        <w:rPr>
          <w:rFonts w:hint="eastAsia"/>
          <w:lang w:val="en-US" w:eastAsia="zh-CN"/>
        </w:rPr>
        <w:t>添加用户检查</w:t>
      </w:r>
      <w:r>
        <w:rPr>
          <w:rFonts w:hint="eastAsia"/>
        </w:rPr>
        <w:t>的代码，代码相关位置已有提示。</w:t>
      </w:r>
    </w:p>
    <w:p w14:paraId="06C972C1">
      <w:pPr>
        <w:ind w:firstLine="480" w:firstLineChars="200"/>
        <w:rPr>
          <w:rFonts w:hint="default"/>
          <w:lang w:val="en-US" w:eastAsia="zh-CN"/>
        </w:rPr>
      </w:pPr>
      <w:r>
        <w:rPr>
          <w:rFonts w:hint="eastAsia"/>
          <w:lang w:val="en-US" w:eastAsia="zh-CN"/>
        </w:rPr>
        <w:t>完成代码编写后，需在src/pik_usercheck目录下执行make命令进行编译。编译后，在tcmenv_reportdemo目录下执行tcm_event.sh脚本来完成解题。系统的证书验证模块，会将所签发的证书累计起来计算哈希值，如果签发证书选择正确，最后输出的哈希值就是题目的flag，可以提交并获取分数。</w:t>
      </w:r>
    </w:p>
    <w:p w14:paraId="390ED6B8">
      <w:pPr>
        <w:ind w:firstLine="480" w:firstLineChars="200"/>
        <w:jc w:val="center"/>
        <w:rPr>
          <w:rFonts w:hint="eastAsia"/>
          <w:lang w:val="en-US" w:eastAsia="zh-CN"/>
        </w:rPr>
      </w:pPr>
    </w:p>
    <w:p w14:paraId="07ED3B83">
      <w:pPr>
        <w:keepNext/>
        <w:keepLines/>
        <w:spacing w:before="260" w:after="260" w:line="416" w:lineRule="auto"/>
        <w:outlineLvl w:val="1"/>
        <w:rPr>
          <w:rFonts w:asciiTheme="majorHAnsi" w:hAnsiTheme="majorHAnsi" w:eastAsiaTheme="majorEastAsia" w:cstheme="majorBidi"/>
          <w:b/>
          <w:bCs/>
          <w:sz w:val="32"/>
          <w:szCs w:val="32"/>
        </w:rPr>
      </w:pPr>
      <w:r>
        <w:rPr>
          <w:rFonts w:hint="eastAsia" w:asciiTheme="majorHAnsi" w:hAnsiTheme="majorHAnsi" w:eastAsiaTheme="majorEastAsia" w:cstheme="majorBidi"/>
          <w:b/>
          <w:bCs/>
          <w:sz w:val="32"/>
          <w:szCs w:val="32"/>
        </w:rPr>
        <w:t>四 题目提示</w:t>
      </w:r>
    </w:p>
    <w:p w14:paraId="61DB117C">
      <w:pPr>
        <w:ind w:firstLine="480" w:firstLineChars="200"/>
      </w:pPr>
      <w:r>
        <w:rPr>
          <w:rFonts w:hint="eastAsia"/>
          <w:lang w:eastAsia="zh-CN"/>
        </w:rPr>
        <w:t>代码</w:t>
      </w:r>
      <w:r>
        <w:rPr>
          <w:rFonts w:hint="eastAsia"/>
        </w:rPr>
        <w:t>相关位置已提供了需要实现相关功能的提示，请参考编写。另外编写过程中可插入多条print</w:t>
      </w:r>
      <w:r>
        <w:t>f</w:t>
      </w:r>
      <w:r>
        <w:rPr>
          <w:rFonts w:hint="eastAsia"/>
        </w:rPr>
        <w:t>语句来进行跟踪调试，建议p</w:t>
      </w:r>
      <w:r>
        <w:t>rintf</w:t>
      </w:r>
      <w:r>
        <w:rPr>
          <w:rFonts w:hint="eastAsia"/>
        </w:rPr>
        <w:t>时添加一些特殊标记来区分它与其它调试信息。</w:t>
      </w:r>
    </w:p>
    <w:p w14:paraId="2DD0F4A1">
      <w:pPr>
        <w:ind w:firstLine="480" w:firstLineChars="200"/>
        <w:rPr>
          <w:rFonts w:hint="eastAsia"/>
        </w:rPr>
      </w:pPr>
      <w:r>
        <w:rPr>
          <w:rFonts w:hint="eastAsia"/>
        </w:rPr>
        <w:t>题目中涉及大量</w:t>
      </w:r>
      <w:r>
        <w:rPr>
          <w:rFonts w:hint="default"/>
          <w:lang w:val="en-US"/>
        </w:rPr>
        <w:t>TCM</w:t>
      </w:r>
      <w:r>
        <w:rPr>
          <w:rFonts w:hint="eastAsia"/>
          <w:lang w:val="en-US" w:eastAsia="zh-CN"/>
        </w:rPr>
        <w:t>数据结构和</w:t>
      </w:r>
      <w:r>
        <w:rPr>
          <w:rFonts w:hint="eastAsia"/>
        </w:rPr>
        <w:t>自定义数据结构，不建议通过查询头文件来了解其结构，建议测试运行后，观察i</w:t>
      </w:r>
      <w:r>
        <w:t>nstance/</w:t>
      </w:r>
      <w:r>
        <w:rPr>
          <w:rFonts w:hint="eastAsia"/>
          <w:lang w:val="en-US" w:eastAsia="zh-CN"/>
        </w:rPr>
        <w:t>CA</w:t>
      </w:r>
      <w:r>
        <w:rPr>
          <w:rFonts w:hint="eastAsia"/>
        </w:rPr>
        <w:t>/</w:t>
      </w:r>
      <w:r>
        <w:t>message</w:t>
      </w:r>
      <w:r>
        <w:rPr>
          <w:rFonts w:hint="eastAsia"/>
        </w:rPr>
        <w:t>.</w:t>
      </w:r>
      <w:r>
        <w:t>log</w:t>
      </w:r>
      <w:r>
        <w:rPr>
          <w:rFonts w:hint="eastAsia"/>
        </w:rPr>
        <w:t>，既可以追踪整个过程，也可以看到相关数据结构的内容。</w:t>
      </w:r>
    </w:p>
    <w:p w14:paraId="6B5B5A1D">
      <w:pPr>
        <w:ind w:firstLine="480" w:firstLineChars="200"/>
        <w:rPr>
          <w:rFonts w:hint="eastAsia"/>
          <w:lang w:val="en-US" w:eastAsia="zh-CN"/>
        </w:rPr>
      </w:pPr>
    </w:p>
    <w:p w14:paraId="595C6AE2">
      <w:pPr>
        <w:keepNext/>
        <w:keepLines/>
        <w:spacing w:before="260" w:after="260" w:line="416" w:lineRule="auto"/>
        <w:outlineLvl w:val="1"/>
        <w:rPr>
          <w:rFonts w:hint="eastAsia" w:asciiTheme="majorHAnsi" w:hAnsiTheme="majorHAnsi" w:eastAsiaTheme="majorEastAsia" w:cstheme="majorBidi"/>
          <w:b/>
          <w:bCs/>
          <w:sz w:val="32"/>
          <w:szCs w:val="32"/>
          <w:lang w:val="en-US" w:eastAsia="zh-CN"/>
        </w:rPr>
      </w:pPr>
      <w:r>
        <w:rPr>
          <w:rFonts w:hint="eastAsia" w:asciiTheme="majorHAnsi" w:hAnsiTheme="majorHAnsi" w:eastAsiaTheme="majorEastAsia" w:cstheme="majorBidi"/>
          <w:b/>
          <w:bCs/>
          <w:sz w:val="32"/>
          <w:szCs w:val="32"/>
          <w:lang w:val="en-US" w:eastAsia="zh-CN"/>
        </w:rPr>
        <w:t>附录1：通用可信基础软件介绍</w:t>
      </w:r>
    </w:p>
    <w:p w14:paraId="5D22CBBE">
      <w:pPr>
        <w:pStyle w:val="28"/>
        <w:ind w:firstLine="440"/>
        <w:rPr>
          <w:rFonts w:hint="eastAsia" w:hAnsiTheme="minorHAnsi" w:cstheme="minorBidi"/>
          <w:kern w:val="2"/>
          <w:sz w:val="24"/>
          <w:szCs w:val="22"/>
          <w:lang w:val="en-US" w:eastAsia="zh-CN" w:bidi="ar-SA"/>
        </w:rPr>
      </w:pPr>
      <w:r>
        <w:rPr>
          <w:rFonts w:hint="eastAsia" w:asciiTheme="minorHAnsi" w:hAnsiTheme="minorHAnsi" w:eastAsiaTheme="minorEastAsia" w:cstheme="minorBidi"/>
          <w:kern w:val="2"/>
          <w:sz w:val="24"/>
          <w:szCs w:val="22"/>
          <w:lang w:val="en-US" w:eastAsia="zh-CN" w:bidi="ar-SA"/>
        </w:rPr>
        <w:t>可信基础软件</w:t>
      </w:r>
      <w:r>
        <w:rPr>
          <w:rFonts w:hint="eastAsia" w:hAnsiTheme="minorHAnsi" w:cstheme="minorBidi"/>
          <w:kern w:val="2"/>
          <w:sz w:val="24"/>
          <w:szCs w:val="22"/>
          <w:lang w:val="en-US" w:eastAsia="zh-CN" w:bidi="ar-SA"/>
        </w:rPr>
        <w:t>是我国自主可信计算体系中的核心，通用可信基础软件则是可信基础软件的一种通用、标准化实现方式。因此，要了解通用可信基础软件，需要首先从自主可信计算理念开始。</w:t>
      </w:r>
    </w:p>
    <w:p w14:paraId="2D337467">
      <w:pPr>
        <w:pStyle w:val="28"/>
        <w:ind w:firstLine="440"/>
        <w:rPr>
          <w:rFonts w:hint="eastAsia" w:hAnsiTheme="minorHAnsi" w:cstheme="minorBidi"/>
          <w:kern w:val="2"/>
          <w:sz w:val="24"/>
          <w:szCs w:val="22"/>
          <w:lang w:val="en-US" w:eastAsia="zh-CN" w:bidi="ar-SA"/>
        </w:rPr>
      </w:pPr>
    </w:p>
    <w:p w14:paraId="1452D528">
      <w:pPr>
        <w:pStyle w:val="28"/>
        <w:ind w:firstLine="440"/>
        <w:rPr>
          <w:rFonts w:hint="eastAsia" w:ascii="Times New Roman" w:hAnsi="Times New Roman" w:eastAsia="宋体"/>
          <w:lang w:val="en-US" w:eastAsia="zh-CN"/>
        </w:rPr>
      </w:pPr>
      <w:r>
        <w:rPr>
          <w:rFonts w:hint="eastAsia" w:ascii="Times New Roman" w:hAnsi="Times New Roman" w:eastAsia="宋体"/>
        </w:rPr>
        <w:t>自主可信计算</w:t>
      </w:r>
      <w:r>
        <w:rPr>
          <w:rFonts w:hint="eastAsia" w:ascii="Times New Roman" w:hAnsi="Times New Roman" w:eastAsia="宋体"/>
          <w:lang w:val="en-US" w:eastAsia="zh-CN"/>
        </w:rPr>
        <w:t>是我国原创的网络安全理念，它指出，</w:t>
      </w:r>
      <w:r>
        <w:rPr>
          <w:rFonts w:ascii="Times New Roman" w:hAnsi="Times New Roman" w:eastAsia="宋体"/>
        </w:rPr>
        <w:t>安全计算实质是一种分布式运行的监控计算流程，是在对系统主客体和环境可信评估的基础上，根据安全需求和安全态势感知来计算系统安全策略的过程。这一过程类似于生物体的免疫机制。因此，自主可信计算以生物免疫体系为参考对象，提出了业务计算和安全计算独立并行执行的新计算模式</w:t>
      </w:r>
      <w:r>
        <w:rPr>
          <w:rFonts w:hint="eastAsia" w:ascii="Times New Roman" w:hAnsi="Times New Roman" w:eastAsia="宋体"/>
          <w:lang w:eastAsia="zh-CN"/>
        </w:rPr>
        <w:t>，</w:t>
      </w:r>
      <w:r>
        <w:rPr>
          <w:rFonts w:ascii="Times New Roman" w:hAnsi="Times New Roman" w:eastAsia="宋体"/>
        </w:rPr>
        <w:t>这一计算模式</w:t>
      </w:r>
      <w:r>
        <w:rPr>
          <w:rFonts w:hint="eastAsia" w:ascii="Times New Roman" w:hAnsi="Times New Roman" w:eastAsia="宋体"/>
          <w:lang w:val="en-US" w:eastAsia="zh-CN"/>
        </w:rPr>
        <w:t>可以在对应用透明的情况下，实现复杂的安全监控功能。</w:t>
      </w:r>
    </w:p>
    <w:p w14:paraId="6902A406">
      <w:pPr>
        <w:pStyle w:val="28"/>
        <w:ind w:firstLine="440"/>
        <w:rPr>
          <w:rFonts w:hint="eastAsia" w:ascii="Times New Roman" w:hAnsi="Times New Roman" w:eastAsia="宋体"/>
          <w:lang w:val="en-US" w:eastAsia="zh-CN"/>
        </w:rPr>
      </w:pPr>
    </w:p>
    <w:p w14:paraId="168E0B76">
      <w:pPr>
        <w:pStyle w:val="28"/>
        <w:ind w:firstLine="440"/>
        <w:rPr>
          <w:rFonts w:ascii="Times New Roman" w:hAnsi="Times New Roman" w:eastAsia="宋体"/>
        </w:rPr>
      </w:pPr>
      <w:r>
        <w:rPr>
          <w:rFonts w:hint="eastAsia" w:ascii="Times New Roman" w:hAnsi="Times New Roman" w:eastAsia="宋体"/>
          <w:lang w:val="en-US" w:eastAsia="zh-CN"/>
        </w:rPr>
        <w:t>自主可信计算提出了</w:t>
      </w:r>
      <w:r>
        <w:rPr>
          <w:rFonts w:hint="eastAsia" w:ascii="Times New Roman" w:hAnsi="Times New Roman" w:eastAsia="宋体"/>
          <w:b/>
          <w:bCs/>
        </w:rPr>
        <w:t>双体系架构</w:t>
      </w:r>
      <w:r>
        <w:rPr>
          <w:rFonts w:hint="eastAsia" w:ascii="Times New Roman" w:hAnsi="Times New Roman" w:eastAsia="宋体"/>
        </w:rPr>
        <w:t>以实现独立、分布式的并行安全监控流程</w:t>
      </w:r>
      <w:r>
        <w:rPr>
          <w:rFonts w:hint="eastAsia" w:ascii="Times New Roman" w:hAnsi="Times New Roman" w:eastAsia="宋体"/>
          <w:lang w:eastAsia="zh-CN"/>
        </w:rPr>
        <w:t>，</w:t>
      </w:r>
      <w:r>
        <w:rPr>
          <w:rFonts w:hint="eastAsia" w:ascii="Times New Roman" w:hAnsi="Times New Roman" w:eastAsia="宋体"/>
          <w:lang w:val="en-US" w:eastAsia="zh-CN"/>
        </w:rPr>
        <w:t>如图1所示。</w:t>
      </w:r>
      <w:r>
        <w:rPr>
          <w:rFonts w:ascii="Times New Roman" w:hAnsi="Times New Roman" w:eastAsia="宋体"/>
        </w:rPr>
        <w:t>原有的执行业务计算的部分称为计算部件。以</w:t>
      </w:r>
      <w:r>
        <w:rPr>
          <w:rFonts w:ascii="Times New Roman" w:hAnsi="Times New Roman" w:eastAsia="宋体"/>
          <w:b/>
          <w:bCs/>
        </w:rPr>
        <w:t>可信密码模块(TCM)</w:t>
      </w:r>
      <w:r>
        <w:rPr>
          <w:rFonts w:ascii="Times New Roman" w:hAnsi="Times New Roman" w:eastAsia="宋体"/>
        </w:rPr>
        <w:t>、</w:t>
      </w:r>
      <w:r>
        <w:rPr>
          <w:rFonts w:ascii="Times New Roman" w:hAnsi="Times New Roman" w:eastAsia="宋体"/>
          <w:b/>
          <w:bCs/>
        </w:rPr>
        <w:t>可信平台控制模块（TPCM）</w:t>
      </w:r>
      <w:r>
        <w:rPr>
          <w:rFonts w:ascii="Times New Roman" w:hAnsi="Times New Roman" w:eastAsia="宋体"/>
        </w:rPr>
        <w:t>和</w:t>
      </w:r>
      <w:r>
        <w:rPr>
          <w:rFonts w:ascii="Times New Roman" w:hAnsi="Times New Roman" w:eastAsia="宋体"/>
          <w:b/>
          <w:bCs/>
        </w:rPr>
        <w:t>可信软件基（TSB)</w:t>
      </w:r>
      <w:r>
        <w:rPr>
          <w:rFonts w:ascii="Times New Roman" w:hAnsi="Times New Roman" w:eastAsia="宋体"/>
        </w:rPr>
        <w:t>组成安全部件。在安全可信管理中心的集中管理下，安全部件通过计算部件中植入的</w:t>
      </w:r>
      <w:r>
        <w:rPr>
          <w:rFonts w:ascii="Times New Roman" w:hAnsi="Times New Roman" w:eastAsia="宋体"/>
          <w:b/>
          <w:bCs/>
        </w:rPr>
        <w:t>安全代理</w:t>
      </w:r>
      <w:r>
        <w:rPr>
          <w:rFonts w:ascii="Times New Roman" w:hAnsi="Times New Roman" w:eastAsia="宋体"/>
        </w:rPr>
        <w:t>对接系统和应用的安全机制，运行安全监控流程，实现对系统的主动监控。</w:t>
      </w:r>
    </w:p>
    <w:p w14:paraId="2B471CA8">
      <w:pPr>
        <w:pStyle w:val="28"/>
        <w:ind w:firstLine="198" w:firstLineChars="90"/>
        <w:jc w:val="center"/>
        <w:rPr>
          <w:rFonts w:ascii="Times New Roman" w:hAnsi="Times New Roman" w:eastAsia="宋体"/>
        </w:rPr>
      </w:pPr>
      <w:r>
        <w:rPr>
          <w:rFonts w:hint="eastAsia"/>
        </w:rPr>
        <w:drawing>
          <wp:inline distT="0" distB="0" distL="114300" distR="114300">
            <wp:extent cx="5121910" cy="2738120"/>
            <wp:effectExtent l="0" t="0" r="2540" b="5080"/>
            <wp:docPr id="8" name="图片 8" descr="图1-自主可信计算体系架构.draw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图1-自主可信计算体系架构.drawio"/>
                    <pic:cNvPicPr>
                      <a:picLocks noChangeAspect="1"/>
                    </pic:cNvPicPr>
                  </pic:nvPicPr>
                  <pic:blipFill>
                    <a:blip r:embed="rId4">
                      <a:extLst>
                        <a:ext uri="{96DAC541-7B7A-43D3-8B79-37D633B846F1}">
                          <asvg:svgBlip xmlns:asvg="http://schemas.microsoft.com/office/drawing/2016/SVG/main" r:embed="rId5"/>
                        </a:ext>
                      </a:extLst>
                    </a:blip>
                    <a:stretch>
                      <a:fillRect/>
                    </a:stretch>
                  </pic:blipFill>
                  <pic:spPr>
                    <a:xfrm>
                      <a:off x="0" y="0"/>
                      <a:ext cx="5121910" cy="2738120"/>
                    </a:xfrm>
                    <a:prstGeom prst="rect">
                      <a:avLst/>
                    </a:prstGeom>
                  </pic:spPr>
                </pic:pic>
              </a:graphicData>
            </a:graphic>
          </wp:inline>
        </w:drawing>
      </w:r>
    </w:p>
    <w:p w14:paraId="1BA9C444">
      <w:pPr>
        <w:pStyle w:val="28"/>
        <w:ind w:firstLine="135" w:firstLineChars="90"/>
        <w:jc w:val="center"/>
        <w:rPr>
          <w:rFonts w:hint="eastAsia" w:ascii="Times New Roman" w:hAnsi="Times New Roman" w:eastAsia="宋体"/>
          <w:sz w:val="15"/>
          <w:szCs w:val="15"/>
        </w:rPr>
      </w:pPr>
      <w:r>
        <w:rPr>
          <w:rFonts w:hint="eastAsia" w:ascii="Times New Roman" w:hAnsi="Times New Roman" w:eastAsia="宋体"/>
          <w:sz w:val="15"/>
          <w:szCs w:val="15"/>
        </w:rPr>
        <w:t>图1 自主可信计算体系架构</w:t>
      </w:r>
    </w:p>
    <w:p w14:paraId="59487001">
      <w:pPr>
        <w:pStyle w:val="28"/>
        <w:ind w:firstLine="198" w:firstLineChars="90"/>
        <w:jc w:val="center"/>
        <w:rPr>
          <w:rFonts w:ascii="Times New Roman" w:hAnsi="Times New Roman" w:eastAsia="宋体"/>
        </w:rPr>
      </w:pPr>
    </w:p>
    <w:p w14:paraId="661BD6EA">
      <w:pPr>
        <w:pStyle w:val="28"/>
        <w:ind w:firstLine="440"/>
        <w:rPr>
          <w:rFonts w:hint="eastAsia" w:ascii="Times New Roman" w:hAnsi="Times New Roman" w:eastAsia="宋体"/>
          <w:lang w:val="en-US" w:eastAsia="zh-CN"/>
        </w:rPr>
      </w:pPr>
      <w:r>
        <w:rPr>
          <w:rFonts w:hint="eastAsia" w:ascii="Times New Roman" w:hAnsi="Times New Roman" w:eastAsia="宋体"/>
        </w:rPr>
        <w:t>自主可信体系架构的核心为</w:t>
      </w:r>
      <w:r>
        <w:rPr>
          <w:rFonts w:hint="eastAsia" w:ascii="Times New Roman" w:hAnsi="Times New Roman" w:eastAsia="宋体"/>
          <w:b/>
          <w:bCs/>
        </w:rPr>
        <w:t>可信基础软件</w:t>
      </w:r>
      <w:r>
        <w:rPr>
          <w:rFonts w:hint="eastAsia" w:ascii="Times New Roman" w:hAnsi="Times New Roman" w:eastAsia="宋体"/>
        </w:rPr>
        <w:t>（图</w:t>
      </w:r>
      <w:r>
        <w:rPr>
          <w:rFonts w:ascii="Times New Roman" w:hAnsi="Times New Roman" w:eastAsia="宋体"/>
        </w:rPr>
        <w:t>1中灰色部分），包括</w:t>
      </w:r>
      <w:r>
        <w:rPr>
          <w:rFonts w:ascii="Times New Roman" w:hAnsi="Times New Roman" w:eastAsia="宋体"/>
          <w:b/>
          <w:bCs/>
        </w:rPr>
        <w:t>TPCM操作系统</w:t>
      </w:r>
      <w:r>
        <w:rPr>
          <w:rFonts w:ascii="Times New Roman" w:hAnsi="Times New Roman" w:eastAsia="宋体"/>
        </w:rPr>
        <w:t>、</w:t>
      </w:r>
      <w:r>
        <w:rPr>
          <w:rFonts w:ascii="Times New Roman" w:hAnsi="Times New Roman" w:eastAsia="宋体"/>
          <w:b/>
          <w:bCs/>
        </w:rPr>
        <w:t>安全可信功能组件集</w:t>
      </w:r>
      <w:r>
        <w:rPr>
          <w:rFonts w:ascii="Times New Roman" w:hAnsi="Times New Roman" w:eastAsia="宋体"/>
        </w:rPr>
        <w:t>、</w:t>
      </w:r>
      <w:r>
        <w:rPr>
          <w:rFonts w:ascii="Times New Roman" w:hAnsi="Times New Roman" w:eastAsia="宋体"/>
          <w:b/>
          <w:bCs/>
        </w:rPr>
        <w:t>可信软件基</w:t>
      </w:r>
      <w:r>
        <w:rPr>
          <w:rFonts w:ascii="Times New Roman" w:hAnsi="Times New Roman" w:eastAsia="宋体"/>
        </w:rPr>
        <w:t>以及计算部件中的</w:t>
      </w:r>
      <w:r>
        <w:rPr>
          <w:rFonts w:ascii="Times New Roman" w:hAnsi="Times New Roman" w:eastAsia="宋体"/>
          <w:b/>
          <w:bCs/>
        </w:rPr>
        <w:t>安全代理</w:t>
      </w:r>
      <w:r>
        <w:rPr>
          <w:rFonts w:ascii="Times New Roman" w:hAnsi="Times New Roman" w:eastAsia="宋体"/>
        </w:rPr>
        <w:t>。可信基础软件可以在安全部件中按需构造安全监控流程，实现对业务计算任务的动态监控。</w:t>
      </w:r>
      <w:r>
        <w:rPr>
          <w:rFonts w:hint="eastAsia" w:ascii="Times New Roman" w:hAnsi="Times New Roman" w:eastAsia="宋体"/>
          <w:lang w:val="en-US" w:eastAsia="zh-CN"/>
        </w:rPr>
        <w:t>而</w:t>
      </w:r>
      <w:r>
        <w:rPr>
          <w:rFonts w:hint="eastAsia" w:ascii="Times New Roman" w:hAnsi="Times New Roman" w:eastAsia="宋体"/>
          <w:b/>
          <w:bCs/>
          <w:lang w:val="en-US" w:eastAsia="zh-CN"/>
        </w:rPr>
        <w:t>通用可信基础软件</w:t>
      </w:r>
      <w:r>
        <w:rPr>
          <w:rFonts w:hint="eastAsia" w:ascii="Times New Roman" w:hAnsi="Times New Roman" w:eastAsia="宋体"/>
          <w:lang w:val="en-US" w:eastAsia="zh-CN"/>
        </w:rPr>
        <w:t>就如同可信基础软件的Linux版本，既可以在不同的物理设备上运行，也可以在虚拟环境中运行，提供标准化的安全监控流程开发方式，让开发者体验自主可信计算在安全开发上带来的便利。</w:t>
      </w:r>
    </w:p>
    <w:p w14:paraId="2EB741C9">
      <w:pPr>
        <w:pStyle w:val="28"/>
        <w:ind w:firstLine="440"/>
        <w:rPr>
          <w:rFonts w:hint="eastAsia" w:ascii="Times New Roman" w:hAnsi="Times New Roman" w:eastAsia="宋体"/>
          <w:lang w:val="en-US" w:eastAsia="zh-CN"/>
        </w:rPr>
      </w:pPr>
    </w:p>
    <w:p w14:paraId="58A1CFAF">
      <w:pPr>
        <w:pStyle w:val="28"/>
        <w:ind w:firstLine="442"/>
        <w:rPr>
          <w:rFonts w:ascii="Times New Roman" w:hAnsi="Times New Roman" w:eastAsia="宋体"/>
        </w:rPr>
      </w:pPr>
      <w:r>
        <w:rPr>
          <w:rFonts w:hint="eastAsia" w:ascii="Times New Roman" w:hAnsi="Times New Roman" w:eastAsia="宋体"/>
          <w:lang w:val="en-US" w:eastAsia="zh-CN"/>
        </w:rPr>
        <w:t>本次竞赛中我们使用的通用可信基础软件是北京工业大学可信计算重点实验室开发的cube架构，它基于五个基本概念（记录，消息，模块，信道和路由）建立起安全监控流程的通用表达方式，并围绕这些表达方式，实现了通用版本的TPCM操作系统、安全可信功能组件集和可信软件基。这里安全可信功能组件集主要的任务是将复杂的安全机制封装起来，提供简单的接口供开发者使用，以大大降低安全开发的难度。</w:t>
      </w:r>
    </w:p>
    <w:p w14:paraId="196FFD22">
      <w:pPr>
        <w:pStyle w:val="28"/>
        <w:ind w:firstLine="440"/>
        <w:rPr>
          <w:rFonts w:hint="eastAsia" w:ascii="Times New Roman" w:hAnsi="Times New Roman" w:eastAsia="宋体"/>
          <w:lang w:val="en-US" w:eastAsia="zh-CN"/>
        </w:rPr>
      </w:pPr>
    </w:p>
    <w:p w14:paraId="7BAC0EEE">
      <w:pPr>
        <w:pStyle w:val="28"/>
        <w:ind w:firstLine="440"/>
        <w:rPr>
          <w:rFonts w:hint="eastAsia" w:ascii="Times New Roman" w:hAnsi="Times New Roman" w:eastAsia="宋体"/>
          <w:lang w:val="en-US" w:eastAsia="zh-CN"/>
        </w:rPr>
      </w:pPr>
      <w:r>
        <w:rPr>
          <w:rFonts w:hint="eastAsia" w:ascii="Times New Roman" w:hAnsi="Times New Roman" w:eastAsia="宋体"/>
          <w:lang w:val="en-US" w:eastAsia="zh-CN"/>
        </w:rPr>
        <w:t>本次安全可信赛题让大家体验的是通用可信基础软件封装复杂安全机制的功能。我们知道，TCM设备的接口非常复杂，而TCM设备中PIK密钥（TCM2.0中称为AK密钥）的申请过程又是其中最复杂的功能之一。现在，我们需要在PIK申请过程中添加一个定制内容，正常的思路是要把PIK申请过程全部搞明白后，再来动手开发，这将是一个漫长而痛苦的过程，而在安全可信功能组件封装下，这个任务变成了一个非常简单的任务，同学们可以试一下在短暂的时间内，能否掌握这个组件的定制开发方法。记住，任务很简单，不要把它想复杂了！</w:t>
      </w:r>
    </w:p>
    <w:p w14:paraId="562EADC8">
      <w:pPr>
        <w:pStyle w:val="28"/>
        <w:ind w:firstLine="440"/>
        <w:rPr>
          <w:rFonts w:hint="eastAsia" w:ascii="Times New Roman" w:hAnsi="Times New Roman" w:eastAsia="宋体"/>
          <w:lang w:val="en-US" w:eastAsia="zh-CN"/>
        </w:rPr>
      </w:pPr>
    </w:p>
    <w:p w14:paraId="5CA929EE">
      <w:pPr>
        <w:keepNext/>
        <w:keepLines/>
        <w:spacing w:before="260" w:after="260" w:line="416" w:lineRule="auto"/>
        <w:outlineLvl w:val="1"/>
        <w:rPr>
          <w:rFonts w:hint="default" w:asciiTheme="majorHAnsi" w:hAnsiTheme="majorHAnsi" w:eastAsiaTheme="majorEastAsia" w:cstheme="majorBidi"/>
          <w:b/>
          <w:bCs/>
          <w:sz w:val="32"/>
          <w:szCs w:val="32"/>
          <w:lang w:val="en-US" w:eastAsia="zh-CN"/>
        </w:rPr>
      </w:pPr>
      <w:r>
        <w:rPr>
          <w:rFonts w:hint="eastAsia" w:asciiTheme="majorHAnsi" w:hAnsiTheme="majorHAnsi" w:eastAsiaTheme="majorEastAsia" w:cstheme="majorBidi"/>
          <w:b/>
          <w:bCs/>
          <w:sz w:val="32"/>
          <w:szCs w:val="32"/>
          <w:lang w:val="en-US" w:eastAsia="zh-CN"/>
        </w:rPr>
        <w:t>附录2 安全可信功能组件pik_casign介绍</w:t>
      </w:r>
    </w:p>
    <w:p w14:paraId="02B1B232">
      <w:pPr>
        <w:keepNext/>
        <w:keepLines/>
        <w:spacing w:before="260" w:after="260" w:line="416" w:lineRule="auto"/>
        <w:ind w:firstLine="420" w:firstLineChars="0"/>
        <w:outlineLvl w:val="1"/>
        <w:rPr>
          <w:rFonts w:hint="eastAsia"/>
          <w:lang w:val="en-US" w:eastAsia="zh-CN"/>
        </w:rPr>
      </w:pPr>
      <w:r>
        <w:rPr>
          <w:rFonts w:hint="eastAsia"/>
          <w:lang w:val="en-US" w:eastAsia="zh-CN"/>
        </w:rPr>
        <w:t>本附录向大家介绍我们这次要打交道的安全可信功能组件：pik_casign组件。</w:t>
      </w:r>
    </w:p>
    <w:p w14:paraId="0C11ED7E">
      <w:pPr>
        <w:pStyle w:val="28"/>
        <w:ind w:firstLine="440"/>
        <w:rPr>
          <w:rFonts w:hint="eastAsia" w:ascii="Times New Roman" w:hAnsi="Times New Roman" w:eastAsia="宋体"/>
          <w:lang w:val="en-US" w:eastAsia="zh-CN"/>
        </w:rPr>
      </w:pPr>
      <w:r>
        <w:rPr>
          <w:rFonts w:hint="eastAsia" w:ascii="Times New Roman" w:hAnsi="Times New Roman" w:eastAsia="宋体"/>
          <w:lang w:val="en-US" w:eastAsia="zh-CN"/>
        </w:rPr>
        <w:t>pik_casign组件是pik申请签发组件的一部分，它用于在CA端验证用户发来的pik申请，并在通过验证后，签发一个pik证书用来让pik申请用户对外证明pik的可靠性。图2展示了pik_casign组件的组成和使用情况。</w:t>
      </w:r>
    </w:p>
    <w:p w14:paraId="5840541C">
      <w:pPr>
        <w:pStyle w:val="28"/>
        <w:ind w:firstLine="440"/>
        <w:rPr>
          <w:rFonts w:hint="eastAsia" w:ascii="Times New Roman" w:hAnsi="Times New Roman" w:eastAsia="宋体"/>
          <w:lang w:val="en-US" w:eastAsia="zh-CN"/>
        </w:rPr>
      </w:pPr>
    </w:p>
    <w:p w14:paraId="1997C8A9">
      <w:pPr>
        <w:pStyle w:val="28"/>
        <w:ind w:firstLine="440"/>
        <w:rPr>
          <w:rFonts w:hint="eastAsia" w:ascii="Times New Roman" w:hAnsi="Times New Roman" w:eastAsia="宋体"/>
          <w:lang w:val="en-US" w:eastAsia="zh-CN"/>
        </w:rPr>
      </w:pPr>
      <w:r>
        <w:rPr>
          <w:rFonts w:hint="eastAsia" w:ascii="Times New Roman" w:hAnsi="Times New Roman" w:eastAsia="宋体"/>
          <w:lang w:val="en-US" w:eastAsia="zh-CN"/>
        </w:rPr>
        <w:drawing>
          <wp:inline distT="0" distB="0" distL="114300" distR="114300">
            <wp:extent cx="3780155" cy="3312795"/>
            <wp:effectExtent l="0" t="0" r="10795" b="1905"/>
            <wp:docPr id="2" name="图片 2" descr="pik_casign组件示意图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pik_casign组件示意图 (2)"/>
                    <pic:cNvPicPr>
                      <a:picLocks noChangeAspect="1"/>
                    </pic:cNvPicPr>
                  </pic:nvPicPr>
                  <pic:blipFill>
                    <a:blip r:embed="rId6"/>
                    <a:stretch>
                      <a:fillRect/>
                    </a:stretch>
                  </pic:blipFill>
                  <pic:spPr>
                    <a:xfrm>
                      <a:off x="0" y="0"/>
                      <a:ext cx="3780155" cy="3312795"/>
                    </a:xfrm>
                    <a:prstGeom prst="rect">
                      <a:avLst/>
                    </a:prstGeom>
                  </pic:spPr>
                </pic:pic>
              </a:graphicData>
            </a:graphic>
          </wp:inline>
        </w:drawing>
      </w:r>
    </w:p>
    <w:p w14:paraId="09CCDB0D">
      <w:pPr>
        <w:pStyle w:val="28"/>
        <w:ind w:left="840" w:leftChars="0" w:firstLine="440"/>
        <w:rPr>
          <w:rFonts w:hint="default" w:ascii="Times New Roman" w:hAnsi="Times New Roman" w:eastAsia="宋体"/>
          <w:lang w:val="en-US" w:eastAsia="zh-CN"/>
        </w:rPr>
      </w:pPr>
    </w:p>
    <w:p w14:paraId="7AB7E332">
      <w:pPr>
        <w:pStyle w:val="28"/>
        <w:ind w:left="840" w:leftChars="0" w:firstLine="1320" w:firstLineChars="600"/>
        <w:rPr>
          <w:rFonts w:hint="eastAsia" w:ascii="Times New Roman" w:hAnsi="Times New Roman" w:eastAsia="宋体"/>
          <w:lang w:val="en-US" w:eastAsia="zh-CN"/>
        </w:rPr>
      </w:pPr>
      <w:r>
        <w:rPr>
          <w:rFonts w:hint="eastAsia" w:ascii="Times New Roman" w:hAnsi="Times New Roman" w:eastAsia="宋体"/>
          <w:lang w:val="en-US" w:eastAsia="zh-CN"/>
        </w:rPr>
        <w:t>图2  pik_casign组件组成与使用</w:t>
      </w:r>
    </w:p>
    <w:p w14:paraId="2F51DF22">
      <w:pPr>
        <w:pStyle w:val="28"/>
        <w:ind w:left="840" w:leftChars="0"/>
        <w:rPr>
          <w:rFonts w:hint="eastAsia" w:ascii="Times New Roman" w:hAnsi="Times New Roman" w:eastAsia="宋体"/>
          <w:lang w:val="en-US" w:eastAsia="zh-CN"/>
        </w:rPr>
      </w:pPr>
    </w:p>
    <w:p w14:paraId="68467132">
      <w:pPr>
        <w:pStyle w:val="28"/>
        <w:ind w:firstLine="440"/>
        <w:rPr>
          <w:rFonts w:hint="eastAsia" w:ascii="Times New Roman" w:hAnsi="Times New Roman" w:eastAsia="宋体"/>
          <w:lang w:val="en-US" w:eastAsia="zh-CN"/>
        </w:rPr>
      </w:pPr>
      <w:r>
        <w:rPr>
          <w:rFonts w:hint="eastAsia" w:ascii="Times New Roman" w:hAnsi="Times New Roman" w:eastAsia="宋体"/>
          <w:lang w:val="en-US" w:eastAsia="zh-CN"/>
        </w:rPr>
        <w:t>图2中绿色标识为</w:t>
      </w:r>
      <w:r>
        <w:rPr>
          <w:rFonts w:hint="eastAsia" w:ascii="Times New Roman" w:hAnsi="Times New Roman" w:eastAsia="宋体"/>
          <w:b/>
          <w:bCs/>
          <w:lang w:val="en-US" w:eastAsia="zh-CN"/>
        </w:rPr>
        <w:t>消息</w:t>
      </w:r>
      <w:r>
        <w:rPr>
          <w:rFonts w:hint="eastAsia" w:ascii="Times New Roman" w:hAnsi="Times New Roman" w:eastAsia="宋体"/>
          <w:lang w:val="en-US" w:eastAsia="zh-CN"/>
        </w:rPr>
        <w:t>，它是数据的载体，可以同时载入多个格式的数据。蓝色方块为cube架构中的</w:t>
      </w:r>
      <w:r>
        <w:rPr>
          <w:rFonts w:hint="eastAsia" w:ascii="Times New Roman" w:hAnsi="Times New Roman" w:eastAsia="宋体"/>
          <w:b/>
          <w:bCs/>
          <w:lang w:val="en-US" w:eastAsia="zh-CN"/>
        </w:rPr>
        <w:t>模块</w:t>
      </w:r>
      <w:r>
        <w:rPr>
          <w:rFonts w:hint="eastAsia" w:ascii="Times New Roman" w:hAnsi="Times New Roman" w:eastAsia="宋体"/>
          <w:lang w:val="en-US" w:eastAsia="zh-CN"/>
        </w:rPr>
        <w:t>，它是封装起来的安全机制计算逻辑，模块接收不同的消息，根据消息的格式和内容触发不同的计算逻辑，实现安全机制的一部分功能。模块间的连线则是</w:t>
      </w:r>
      <w:r>
        <w:rPr>
          <w:rFonts w:hint="eastAsia" w:ascii="Times New Roman" w:hAnsi="Times New Roman" w:eastAsia="宋体"/>
          <w:b/>
          <w:bCs/>
          <w:lang w:val="en-US" w:eastAsia="zh-CN"/>
        </w:rPr>
        <w:t>路由</w:t>
      </w:r>
      <w:r>
        <w:rPr>
          <w:rFonts w:hint="eastAsia" w:ascii="Times New Roman" w:hAnsi="Times New Roman" w:eastAsia="宋体"/>
          <w:lang w:val="en-US" w:eastAsia="zh-CN"/>
        </w:rPr>
        <w:t>，它是模块间消息传输的路径。我们可以看到，标识为pik_gen的路由从term位置的log_msg_recover模块到server的key_event模块，再到term的key_event模块，这个过程是pik证书签发过程管理流程的局部再现。</w:t>
      </w:r>
    </w:p>
    <w:p w14:paraId="248BDD70">
      <w:pPr>
        <w:pStyle w:val="28"/>
        <w:ind w:firstLine="440"/>
        <w:rPr>
          <w:rFonts w:hint="eastAsia" w:ascii="Times New Roman" w:hAnsi="Times New Roman" w:eastAsia="宋体"/>
          <w:lang w:val="en-US" w:eastAsia="zh-CN"/>
        </w:rPr>
      </w:pPr>
    </w:p>
    <w:p w14:paraId="6BB61A37">
      <w:pPr>
        <w:pStyle w:val="28"/>
        <w:rPr>
          <w:rFonts w:hint="eastAsia" w:ascii="Times New Roman" w:hAnsi="Times New Roman" w:eastAsia="宋体"/>
          <w:lang w:val="en-US" w:eastAsia="zh-CN"/>
        </w:rPr>
      </w:pPr>
      <w:r>
        <w:rPr>
          <w:rFonts w:hint="eastAsia" w:ascii="Times New Roman" w:hAnsi="Times New Roman" w:eastAsia="宋体"/>
          <w:lang w:val="en-US" w:eastAsia="zh-CN"/>
        </w:rPr>
        <w:t>蓝色模块中并没有提供任何证书签发功能，其实现的功能仅限于管理和数据处理。证书签发机制在pik_casign组件（黄色方块)中实现。pik_casign组件是模块和路由的组合，它提供了名为pik_casign的接入路由。而管理流程路由pik_gen接入pik_casign的方式非常简单，只需选择pik_gen的适当位置（图中粉色方块），添加一条切面策略，即可将pik_casign路由接入到pik_gen流程中。此时，pik_gen路由上的消息传递到粉色方块后，会先经过pik_casign模块，完成证书签发过程后，再回到原路由上，继续传递。</w:t>
      </w:r>
    </w:p>
    <w:p w14:paraId="6772E33F">
      <w:pPr>
        <w:pStyle w:val="28"/>
        <w:rPr>
          <w:rFonts w:hint="eastAsia" w:ascii="Times New Roman" w:hAnsi="Times New Roman" w:eastAsia="宋体"/>
          <w:lang w:val="en-US" w:eastAsia="zh-CN"/>
        </w:rPr>
      </w:pPr>
    </w:p>
    <w:p w14:paraId="6EAD404E">
      <w:pPr>
        <w:pStyle w:val="28"/>
        <w:rPr>
          <w:rFonts w:hint="eastAsia" w:ascii="Times New Roman" w:hAnsi="Times New Roman" w:eastAsia="宋体"/>
          <w:lang w:val="en-US" w:eastAsia="zh-CN"/>
        </w:rPr>
      </w:pPr>
      <w:r>
        <w:rPr>
          <w:rFonts w:hint="eastAsia" w:ascii="Times New Roman" w:hAnsi="Times New Roman" w:eastAsia="宋体"/>
          <w:lang w:val="en-US" w:eastAsia="zh-CN"/>
        </w:rPr>
        <w:t>这里我们忽略了一个细节，就是使用pik_casign组件时，发送的消息格式需要符合pik_casign组件的要求。实际上，接口数据格式要求相当复杂。但是，pik_casign组件实际上是配合客户端（term）的pik_client组件执行的，复杂的消息格式实际上是由pik_client组件生成，因此，我们并不需要了解其细节，只需要按照示范用例配置好完整流程，即可实现证书签发过程了。本题我们虽然没有部署pik_client组件，但是我们使用的消息是log_msg_recover模块恢复的历史消息，这些消息就是pik_client组件中输出的消息。因此，我们执行tcm_event.sh时，看到的就是还原出的CA端pik证书签发过程。</w:t>
      </w:r>
    </w:p>
    <w:p w14:paraId="3172FF3C">
      <w:pPr>
        <w:keepNext/>
        <w:keepLines/>
        <w:spacing w:before="260" w:after="260" w:line="416" w:lineRule="auto"/>
        <w:outlineLvl w:val="1"/>
        <w:rPr>
          <w:rFonts w:hint="eastAsia" w:asciiTheme="majorHAnsi" w:hAnsiTheme="majorHAnsi" w:eastAsiaTheme="majorEastAsia" w:cstheme="majorBidi"/>
          <w:b/>
          <w:bCs/>
          <w:sz w:val="32"/>
          <w:szCs w:val="32"/>
          <w:lang w:val="en-US" w:eastAsia="zh-CN"/>
        </w:rPr>
      </w:pPr>
      <w:r>
        <w:rPr>
          <w:rFonts w:hint="eastAsia" w:asciiTheme="majorHAnsi" w:hAnsiTheme="majorHAnsi" w:eastAsiaTheme="majorEastAsia" w:cstheme="majorBidi"/>
          <w:b/>
          <w:bCs/>
          <w:sz w:val="32"/>
          <w:szCs w:val="32"/>
          <w:lang w:val="en-US" w:eastAsia="zh-CN"/>
        </w:rPr>
        <w:t>附录3 安全可信功能组件pik_casign的功能扩展</w:t>
      </w:r>
    </w:p>
    <w:p w14:paraId="7EFC676E">
      <w:pPr>
        <w:pStyle w:val="28"/>
        <w:rPr>
          <w:rFonts w:hint="eastAsia" w:ascii="Times New Roman" w:hAnsi="Times New Roman" w:eastAsia="宋体"/>
          <w:lang w:val="en-US" w:eastAsia="zh-CN"/>
        </w:rPr>
      </w:pPr>
      <w:r>
        <w:rPr>
          <w:rFonts w:hint="eastAsia" w:ascii="Times New Roman" w:hAnsi="Times New Roman" w:eastAsia="宋体"/>
          <w:lang w:val="en-US" w:eastAsia="zh-CN"/>
        </w:rPr>
        <w:t>本节介绍pik_casign组件提供的功能扩展机制。</w:t>
      </w:r>
    </w:p>
    <w:p w14:paraId="0270CA17">
      <w:pPr>
        <w:pStyle w:val="28"/>
        <w:rPr>
          <w:rFonts w:hint="eastAsia" w:ascii="Times New Roman" w:hAnsi="Times New Roman" w:eastAsia="宋体"/>
          <w:lang w:val="en-US" w:eastAsia="zh-CN"/>
        </w:rPr>
      </w:pPr>
      <w:r>
        <w:rPr>
          <w:rFonts w:hint="eastAsia" w:ascii="Times New Roman" w:hAnsi="Times New Roman" w:eastAsia="宋体"/>
          <w:lang w:val="en-US" w:eastAsia="zh-CN"/>
        </w:rPr>
        <w:t>原始的pik_casign组件是不提供对用户申请信息的检查的。只要机器正确，申请包签名和完整性验证通过，即可签发证书。但真正的应用环境中，证书签发显然应当对内容进行检查。为此，pik_casign组件提供了用户信息检查模块pik_usercheck。但因为具体的用户信息检查规则只能由使用者确定，因此这个模块是留给开发者来添加规则的，在不做任何修改时，该模块不发挥作用。</w:t>
      </w:r>
    </w:p>
    <w:p w14:paraId="7FE10207">
      <w:pPr>
        <w:pStyle w:val="28"/>
        <w:rPr>
          <w:rFonts w:hint="eastAsia" w:ascii="Times New Roman" w:hAnsi="Times New Roman" w:eastAsia="宋体"/>
          <w:lang w:val="en-US" w:eastAsia="zh-CN"/>
        </w:rPr>
      </w:pPr>
    </w:p>
    <w:p w14:paraId="2BCE923B">
      <w:pPr>
        <w:pStyle w:val="28"/>
        <w:rPr>
          <w:rFonts w:hint="eastAsia" w:ascii="Times New Roman" w:hAnsi="Times New Roman" w:eastAsia="宋体"/>
          <w:lang w:val="en-US" w:eastAsia="zh-CN"/>
        </w:rPr>
      </w:pPr>
      <w:r>
        <w:rPr>
          <w:rFonts w:hint="eastAsia" w:ascii="Times New Roman" w:hAnsi="Times New Roman" w:eastAsia="宋体"/>
          <w:lang w:val="en-US" w:eastAsia="zh-CN"/>
        </w:rPr>
        <w:t>我们把pik_casign组件展开成模块，即可理解其实现原理，组件中包括pik_usercheck组件和pik_casign两个模块，如图3所示。签发证书的模块是pik_casign，而pik_usercheck则在其前面，检查不通过的证书，pik_usercheck可直接拦截。拦截方式为直接return -EINVAL。</w:t>
      </w:r>
    </w:p>
    <w:p w14:paraId="69B1EFAF">
      <w:pPr>
        <w:pStyle w:val="28"/>
        <w:jc w:val="center"/>
        <w:rPr>
          <w:rFonts w:hint="default" w:ascii="Times New Roman" w:hAnsi="Times New Roman" w:eastAsia="宋体"/>
          <w:lang w:val="en-US" w:eastAsia="zh-CN"/>
        </w:rPr>
      </w:pPr>
      <w:bookmarkStart w:id="0" w:name="_GoBack"/>
      <w:r>
        <w:rPr>
          <w:rFonts w:hint="default" w:ascii="Times New Roman" w:hAnsi="Times New Roman" w:eastAsia="宋体"/>
          <w:lang w:val="en-US" w:eastAsia="zh-CN"/>
        </w:rPr>
        <w:drawing>
          <wp:inline distT="0" distB="0" distL="114300" distR="114300">
            <wp:extent cx="3208020" cy="3003550"/>
            <wp:effectExtent l="0" t="0" r="1905" b="6350"/>
            <wp:docPr id="1" name="图片 1" descr="pik_casign组件模块展示示意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pik_casign组件模块展示示意图"/>
                    <pic:cNvPicPr>
                      <a:picLocks noChangeAspect="1"/>
                    </pic:cNvPicPr>
                  </pic:nvPicPr>
                  <pic:blipFill>
                    <a:blip r:embed="rId7"/>
                    <a:stretch>
                      <a:fillRect/>
                    </a:stretch>
                  </pic:blipFill>
                  <pic:spPr>
                    <a:xfrm>
                      <a:off x="0" y="0"/>
                      <a:ext cx="3208020" cy="3003550"/>
                    </a:xfrm>
                    <a:prstGeom prst="rect">
                      <a:avLst/>
                    </a:prstGeom>
                  </pic:spPr>
                </pic:pic>
              </a:graphicData>
            </a:graphic>
          </wp:inline>
        </w:drawing>
      </w:r>
      <w:bookmarkEnd w:id="0"/>
    </w:p>
    <w:p w14:paraId="7BA59940">
      <w:pPr>
        <w:pStyle w:val="28"/>
        <w:ind w:left="840" w:leftChars="0" w:firstLine="1320" w:firstLineChars="600"/>
        <w:rPr>
          <w:rFonts w:hint="eastAsia" w:ascii="Times New Roman" w:hAnsi="Times New Roman" w:eastAsia="宋体"/>
          <w:lang w:val="en-US" w:eastAsia="zh-CN"/>
        </w:rPr>
      </w:pPr>
      <w:r>
        <w:rPr>
          <w:rFonts w:hint="eastAsia" w:ascii="Times New Roman" w:hAnsi="Times New Roman" w:eastAsia="宋体"/>
          <w:lang w:val="en-US" w:eastAsia="zh-CN"/>
        </w:rPr>
        <w:t>图3 pik_casign组件内部结构展开</w:t>
      </w:r>
    </w:p>
    <w:p w14:paraId="0566B582">
      <w:pPr>
        <w:pStyle w:val="28"/>
        <w:ind w:firstLine="1100" w:firstLineChars="500"/>
        <w:rPr>
          <w:rFonts w:hint="default" w:ascii="Times New Roman" w:hAnsi="Times New Roman" w:eastAsia="宋体"/>
          <w:lang w:val="en-US" w:eastAsia="zh-CN"/>
        </w:rPr>
      </w:pPr>
    </w:p>
    <w:p w14:paraId="53E0CE11">
      <w:pPr>
        <w:pStyle w:val="28"/>
        <w:rPr>
          <w:rFonts w:hint="eastAsia" w:ascii="Times New Roman" w:hAnsi="Times New Roman" w:eastAsia="宋体"/>
          <w:lang w:val="en-US" w:eastAsia="zh-CN"/>
        </w:rPr>
      </w:pPr>
      <w:r>
        <w:rPr>
          <w:rFonts w:hint="eastAsia" w:ascii="Times New Roman" w:hAnsi="Times New Roman" w:eastAsia="宋体"/>
          <w:lang w:val="en-US" w:eastAsia="zh-CN"/>
        </w:rPr>
        <w:t>要进行用户检查，我们就必须要去理解组件的接口了。幸运的是，我们不需要了解那些复杂的接口，只需了解两个相对简单的数据结构。</w:t>
      </w:r>
    </w:p>
    <w:p w14:paraId="093068AE">
      <w:pPr>
        <w:pStyle w:val="28"/>
        <w:rPr>
          <w:rFonts w:hint="eastAsia" w:ascii="Times New Roman" w:hAnsi="Times New Roman" w:eastAsia="宋体"/>
          <w:lang w:val="en-US" w:eastAsia="zh-CN"/>
        </w:rPr>
      </w:pPr>
      <w:r>
        <w:rPr>
          <w:rFonts w:hint="eastAsia" w:ascii="Times New Roman" w:hAnsi="Times New Roman" w:eastAsia="宋体"/>
          <w:lang w:val="en-US" w:eastAsia="zh-CN"/>
        </w:rPr>
        <w:t>第一个数据结构是传入pik_usercheck消息中的数据项。这一数据项就是证书中表示用户信息的部分，在c程序源码中，用RECORD(TCM_PIK_DESC,USERINFO)二元组表示。其数据结构中username为用户名，user_role选项表示用户类型,该选项为字符串格式，有“ADMIN”，“USER</w:t>
      </w:r>
      <w:r>
        <w:rPr>
          <w:rFonts w:hint="default" w:ascii="Times New Roman" w:hAnsi="Times New Roman" w:eastAsia="宋体"/>
          <w:lang w:val="en-US" w:eastAsia="zh-CN"/>
        </w:rPr>
        <w:t>”</w:t>
      </w:r>
      <w:r>
        <w:rPr>
          <w:rFonts w:hint="eastAsia" w:ascii="Times New Roman" w:hAnsi="Times New Roman" w:eastAsia="宋体"/>
          <w:lang w:val="en-US" w:eastAsia="zh-CN"/>
        </w:rPr>
        <w:t>,</w:t>
      </w:r>
      <w:r>
        <w:rPr>
          <w:rFonts w:hint="default" w:ascii="Times New Roman" w:hAnsi="Times New Roman" w:eastAsia="宋体"/>
          <w:lang w:val="en-US" w:eastAsia="zh-CN"/>
        </w:rPr>
        <w:t>”</w:t>
      </w:r>
      <w:r>
        <w:rPr>
          <w:rFonts w:hint="eastAsia" w:ascii="Times New Roman" w:hAnsi="Times New Roman" w:eastAsia="宋体"/>
          <w:lang w:val="en-US" w:eastAsia="zh-CN"/>
        </w:rPr>
        <w:t>GUEST</w:t>
      </w:r>
      <w:r>
        <w:rPr>
          <w:rFonts w:hint="default" w:ascii="Times New Roman" w:hAnsi="Times New Roman" w:eastAsia="宋体"/>
          <w:lang w:val="en-US" w:eastAsia="zh-CN"/>
        </w:rPr>
        <w:t>”</w:t>
      </w:r>
      <w:r>
        <w:rPr>
          <w:rFonts w:hint="eastAsia" w:ascii="Times New Roman" w:hAnsi="Times New Roman" w:eastAsia="宋体"/>
          <w:lang w:val="en-US" w:eastAsia="zh-CN"/>
        </w:rPr>
        <w:t>三个选项。</w:t>
      </w:r>
    </w:p>
    <w:p w14:paraId="62598D89">
      <w:pPr>
        <w:pStyle w:val="28"/>
        <w:rPr>
          <w:rFonts w:hint="eastAsia" w:ascii="Times New Roman" w:hAnsi="Times New Roman" w:eastAsia="宋体"/>
          <w:lang w:val="en-US" w:eastAsia="zh-CN"/>
        </w:rPr>
      </w:pPr>
      <w:r>
        <w:rPr>
          <w:rFonts w:hint="eastAsia" w:ascii="Times New Roman" w:hAnsi="Times New Roman" w:eastAsia="宋体"/>
          <w:lang w:val="en-US" w:eastAsia="zh-CN"/>
        </w:rPr>
        <w:t>第二个数据结构则是在CA中预存的user.list，这里储存的是不同用户的预设信息。其中role选项表示用户类型，该类型为枚举选项，有ROLE_ADMIN,ROLE_USER和ROLE_GUEST三个取值。</w:t>
      </w:r>
    </w:p>
    <w:p w14:paraId="27B78E04">
      <w:pPr>
        <w:rPr>
          <w:rFonts w:hint="eastAsia"/>
        </w:rPr>
      </w:pPr>
      <w:r>
        <w:rPr>
          <w:rFonts w:hint="eastAsia" w:ascii="Times New Roman" w:hAnsi="Times New Roman" w:eastAsia="宋体"/>
          <w:lang w:val="en-US" w:eastAsia="zh-CN"/>
        </w:rPr>
        <w:t>同学们要做的工作就是在接到特定用户的pik申请请求后，检查其用户信息中格式是否与预存值一致，如不一致则返回-EINVAL。如一致，则不需做额外处理，继续证书签发过程即可。</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NEU-BZ">
    <w:altName w:val="宋体"/>
    <w:panose1 w:val="00000000000000000000"/>
    <w:charset w:val="86"/>
    <w:family w:val="script"/>
    <w:pitch w:val="default"/>
    <w:sig w:usb0="00000000" w:usb1="00000000" w:usb2="000A005E" w:usb3="00000000" w:csb0="003C004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0NmIwMzIyMGUyMGQxYjljNTkzNDhmZjJkMWI4ZmIifQ=="/>
  </w:docVars>
  <w:rsids>
    <w:rsidRoot w:val="00B43FC8"/>
    <w:rsid w:val="000035DC"/>
    <w:rsid w:val="0001262A"/>
    <w:rsid w:val="00020968"/>
    <w:rsid w:val="000251D8"/>
    <w:rsid w:val="00034F99"/>
    <w:rsid w:val="000745EF"/>
    <w:rsid w:val="0008517B"/>
    <w:rsid w:val="000A2583"/>
    <w:rsid w:val="000B3F14"/>
    <w:rsid w:val="000B66D7"/>
    <w:rsid w:val="000B6862"/>
    <w:rsid w:val="000C72E5"/>
    <w:rsid w:val="000D04AE"/>
    <w:rsid w:val="000F3D69"/>
    <w:rsid w:val="000F56C0"/>
    <w:rsid w:val="000F77AA"/>
    <w:rsid w:val="001067BF"/>
    <w:rsid w:val="00107449"/>
    <w:rsid w:val="0011456D"/>
    <w:rsid w:val="001159C1"/>
    <w:rsid w:val="00132A83"/>
    <w:rsid w:val="001377D7"/>
    <w:rsid w:val="001567DD"/>
    <w:rsid w:val="00164253"/>
    <w:rsid w:val="0017134D"/>
    <w:rsid w:val="001771FD"/>
    <w:rsid w:val="001819E3"/>
    <w:rsid w:val="00183001"/>
    <w:rsid w:val="001A402D"/>
    <w:rsid w:val="001B4279"/>
    <w:rsid w:val="001C694A"/>
    <w:rsid w:val="001D03EB"/>
    <w:rsid w:val="001D0FC8"/>
    <w:rsid w:val="001D6905"/>
    <w:rsid w:val="001E2FF1"/>
    <w:rsid w:val="001F06B3"/>
    <w:rsid w:val="001F2AA8"/>
    <w:rsid w:val="00200D67"/>
    <w:rsid w:val="00202AB2"/>
    <w:rsid w:val="002114C4"/>
    <w:rsid w:val="002163CF"/>
    <w:rsid w:val="00222DEC"/>
    <w:rsid w:val="00236319"/>
    <w:rsid w:val="002407F9"/>
    <w:rsid w:val="0026459E"/>
    <w:rsid w:val="00273777"/>
    <w:rsid w:val="002D6CE4"/>
    <w:rsid w:val="002F37D8"/>
    <w:rsid w:val="00307ED0"/>
    <w:rsid w:val="003166DC"/>
    <w:rsid w:val="003371EE"/>
    <w:rsid w:val="003405AE"/>
    <w:rsid w:val="003476DB"/>
    <w:rsid w:val="00361D30"/>
    <w:rsid w:val="00362A81"/>
    <w:rsid w:val="00363408"/>
    <w:rsid w:val="0036700C"/>
    <w:rsid w:val="003B0693"/>
    <w:rsid w:val="003B29AE"/>
    <w:rsid w:val="003C47AE"/>
    <w:rsid w:val="003F0E28"/>
    <w:rsid w:val="003F1E25"/>
    <w:rsid w:val="003F63EA"/>
    <w:rsid w:val="003F65A8"/>
    <w:rsid w:val="003F6EF5"/>
    <w:rsid w:val="00411F9A"/>
    <w:rsid w:val="0044016B"/>
    <w:rsid w:val="0044365B"/>
    <w:rsid w:val="00456FC5"/>
    <w:rsid w:val="0045734C"/>
    <w:rsid w:val="00472453"/>
    <w:rsid w:val="0047383F"/>
    <w:rsid w:val="004A31D1"/>
    <w:rsid w:val="004A3A5E"/>
    <w:rsid w:val="004D77B6"/>
    <w:rsid w:val="004F2716"/>
    <w:rsid w:val="004F6F64"/>
    <w:rsid w:val="00503B0C"/>
    <w:rsid w:val="00516E64"/>
    <w:rsid w:val="005243F0"/>
    <w:rsid w:val="005506ED"/>
    <w:rsid w:val="00556EBD"/>
    <w:rsid w:val="00561FCB"/>
    <w:rsid w:val="0056756D"/>
    <w:rsid w:val="00570E84"/>
    <w:rsid w:val="005826EE"/>
    <w:rsid w:val="00584B58"/>
    <w:rsid w:val="00586399"/>
    <w:rsid w:val="0059041D"/>
    <w:rsid w:val="005A2026"/>
    <w:rsid w:val="005A4D71"/>
    <w:rsid w:val="005C0185"/>
    <w:rsid w:val="006043BC"/>
    <w:rsid w:val="00621944"/>
    <w:rsid w:val="006345AB"/>
    <w:rsid w:val="0064029D"/>
    <w:rsid w:val="006411D2"/>
    <w:rsid w:val="00652221"/>
    <w:rsid w:val="006A3369"/>
    <w:rsid w:val="006C3FF5"/>
    <w:rsid w:val="006C6B6C"/>
    <w:rsid w:val="006D7D9F"/>
    <w:rsid w:val="006F570F"/>
    <w:rsid w:val="0071081E"/>
    <w:rsid w:val="00724B3F"/>
    <w:rsid w:val="00765FB4"/>
    <w:rsid w:val="00776464"/>
    <w:rsid w:val="0079189D"/>
    <w:rsid w:val="007971C1"/>
    <w:rsid w:val="007A0E65"/>
    <w:rsid w:val="007A1F2B"/>
    <w:rsid w:val="007A1FAF"/>
    <w:rsid w:val="007C15AF"/>
    <w:rsid w:val="007C5EED"/>
    <w:rsid w:val="007C7EF6"/>
    <w:rsid w:val="007D4CC5"/>
    <w:rsid w:val="007E5793"/>
    <w:rsid w:val="007F38DC"/>
    <w:rsid w:val="008005E3"/>
    <w:rsid w:val="00805A43"/>
    <w:rsid w:val="00821F39"/>
    <w:rsid w:val="008307C0"/>
    <w:rsid w:val="00831274"/>
    <w:rsid w:val="008422A9"/>
    <w:rsid w:val="008425FF"/>
    <w:rsid w:val="0084640F"/>
    <w:rsid w:val="00851E8F"/>
    <w:rsid w:val="00863140"/>
    <w:rsid w:val="008755BF"/>
    <w:rsid w:val="00882700"/>
    <w:rsid w:val="00883A78"/>
    <w:rsid w:val="00883B50"/>
    <w:rsid w:val="00884329"/>
    <w:rsid w:val="008A6839"/>
    <w:rsid w:val="008B5296"/>
    <w:rsid w:val="008C2EF5"/>
    <w:rsid w:val="008D2C6A"/>
    <w:rsid w:val="008D6C69"/>
    <w:rsid w:val="008E17E0"/>
    <w:rsid w:val="008E2CDD"/>
    <w:rsid w:val="008F2FEE"/>
    <w:rsid w:val="008F3473"/>
    <w:rsid w:val="008F4F69"/>
    <w:rsid w:val="008F7B67"/>
    <w:rsid w:val="00903215"/>
    <w:rsid w:val="0091237C"/>
    <w:rsid w:val="00912CE1"/>
    <w:rsid w:val="00913A9F"/>
    <w:rsid w:val="00913EDE"/>
    <w:rsid w:val="00922211"/>
    <w:rsid w:val="00922D8D"/>
    <w:rsid w:val="00953D0B"/>
    <w:rsid w:val="00953FAF"/>
    <w:rsid w:val="00954132"/>
    <w:rsid w:val="00992723"/>
    <w:rsid w:val="009B1E49"/>
    <w:rsid w:val="009B29BF"/>
    <w:rsid w:val="009C47A2"/>
    <w:rsid w:val="009C5646"/>
    <w:rsid w:val="009C75ED"/>
    <w:rsid w:val="009D015B"/>
    <w:rsid w:val="009D3F1E"/>
    <w:rsid w:val="009D6F17"/>
    <w:rsid w:val="009E7E9F"/>
    <w:rsid w:val="00A05B8C"/>
    <w:rsid w:val="00A06A51"/>
    <w:rsid w:val="00A16DDE"/>
    <w:rsid w:val="00A2706F"/>
    <w:rsid w:val="00A42CC6"/>
    <w:rsid w:val="00A452FC"/>
    <w:rsid w:val="00A46FD2"/>
    <w:rsid w:val="00A550C1"/>
    <w:rsid w:val="00A64972"/>
    <w:rsid w:val="00A64DD0"/>
    <w:rsid w:val="00A67FDE"/>
    <w:rsid w:val="00A925CD"/>
    <w:rsid w:val="00A942B2"/>
    <w:rsid w:val="00A963E8"/>
    <w:rsid w:val="00AD04DB"/>
    <w:rsid w:val="00AE4C01"/>
    <w:rsid w:val="00AF0627"/>
    <w:rsid w:val="00B07D1F"/>
    <w:rsid w:val="00B10A92"/>
    <w:rsid w:val="00B14C04"/>
    <w:rsid w:val="00B20336"/>
    <w:rsid w:val="00B25146"/>
    <w:rsid w:val="00B36C32"/>
    <w:rsid w:val="00B43FC8"/>
    <w:rsid w:val="00B519C4"/>
    <w:rsid w:val="00B537FB"/>
    <w:rsid w:val="00B60CDC"/>
    <w:rsid w:val="00B639C9"/>
    <w:rsid w:val="00B8079D"/>
    <w:rsid w:val="00B8642A"/>
    <w:rsid w:val="00BB264D"/>
    <w:rsid w:val="00BE1C1C"/>
    <w:rsid w:val="00BE22D8"/>
    <w:rsid w:val="00C000B2"/>
    <w:rsid w:val="00C0529E"/>
    <w:rsid w:val="00C07558"/>
    <w:rsid w:val="00C2711C"/>
    <w:rsid w:val="00C36F34"/>
    <w:rsid w:val="00C5416F"/>
    <w:rsid w:val="00C55A01"/>
    <w:rsid w:val="00C562AD"/>
    <w:rsid w:val="00C57863"/>
    <w:rsid w:val="00C630CB"/>
    <w:rsid w:val="00C716B6"/>
    <w:rsid w:val="00C77716"/>
    <w:rsid w:val="00C81656"/>
    <w:rsid w:val="00C95573"/>
    <w:rsid w:val="00CA0151"/>
    <w:rsid w:val="00CC4058"/>
    <w:rsid w:val="00CD67BB"/>
    <w:rsid w:val="00CD7303"/>
    <w:rsid w:val="00CF0FA7"/>
    <w:rsid w:val="00D02232"/>
    <w:rsid w:val="00D223CB"/>
    <w:rsid w:val="00D469F1"/>
    <w:rsid w:val="00D46BB3"/>
    <w:rsid w:val="00D538B5"/>
    <w:rsid w:val="00D9136D"/>
    <w:rsid w:val="00D96522"/>
    <w:rsid w:val="00DA1999"/>
    <w:rsid w:val="00DA5AFD"/>
    <w:rsid w:val="00DC3658"/>
    <w:rsid w:val="00DC57A7"/>
    <w:rsid w:val="00DC7B66"/>
    <w:rsid w:val="00DD195B"/>
    <w:rsid w:val="00DD37CD"/>
    <w:rsid w:val="00DD4E7A"/>
    <w:rsid w:val="00DD67FE"/>
    <w:rsid w:val="00DE0846"/>
    <w:rsid w:val="00DE08F1"/>
    <w:rsid w:val="00DE70AD"/>
    <w:rsid w:val="00DE7E35"/>
    <w:rsid w:val="00DF1A35"/>
    <w:rsid w:val="00E00733"/>
    <w:rsid w:val="00E00F33"/>
    <w:rsid w:val="00E137B9"/>
    <w:rsid w:val="00E32BAE"/>
    <w:rsid w:val="00E35F42"/>
    <w:rsid w:val="00E40665"/>
    <w:rsid w:val="00E42254"/>
    <w:rsid w:val="00E50964"/>
    <w:rsid w:val="00E65251"/>
    <w:rsid w:val="00E86A93"/>
    <w:rsid w:val="00E87501"/>
    <w:rsid w:val="00E942A7"/>
    <w:rsid w:val="00EA1CFA"/>
    <w:rsid w:val="00EA39D9"/>
    <w:rsid w:val="00EA4C82"/>
    <w:rsid w:val="00EA595F"/>
    <w:rsid w:val="00EB52CD"/>
    <w:rsid w:val="00EB6D49"/>
    <w:rsid w:val="00EC1E5E"/>
    <w:rsid w:val="00EC566A"/>
    <w:rsid w:val="00EC5B72"/>
    <w:rsid w:val="00EF10E9"/>
    <w:rsid w:val="00F1270E"/>
    <w:rsid w:val="00F17698"/>
    <w:rsid w:val="00F24ECA"/>
    <w:rsid w:val="00F35AD7"/>
    <w:rsid w:val="00F37DD5"/>
    <w:rsid w:val="00F40D82"/>
    <w:rsid w:val="00F41F75"/>
    <w:rsid w:val="00F46A59"/>
    <w:rsid w:val="00F674C4"/>
    <w:rsid w:val="00FC4137"/>
    <w:rsid w:val="0E7E1CB9"/>
    <w:rsid w:val="12183DB3"/>
    <w:rsid w:val="17EE79CE"/>
    <w:rsid w:val="19916FB2"/>
    <w:rsid w:val="1F2E0C0A"/>
    <w:rsid w:val="27962024"/>
    <w:rsid w:val="294E6D78"/>
    <w:rsid w:val="2DFB24CE"/>
    <w:rsid w:val="31045882"/>
    <w:rsid w:val="345A0DF9"/>
    <w:rsid w:val="348975D6"/>
    <w:rsid w:val="356B5778"/>
    <w:rsid w:val="39CB0253"/>
    <w:rsid w:val="403A7F53"/>
    <w:rsid w:val="40E11F64"/>
    <w:rsid w:val="41913C5B"/>
    <w:rsid w:val="42517D27"/>
    <w:rsid w:val="440C56F0"/>
    <w:rsid w:val="4A5811C4"/>
    <w:rsid w:val="4B2D7ECC"/>
    <w:rsid w:val="4C7A4E13"/>
    <w:rsid w:val="507408A5"/>
    <w:rsid w:val="51634F9C"/>
    <w:rsid w:val="51F83735"/>
    <w:rsid w:val="52B1007E"/>
    <w:rsid w:val="56823C31"/>
    <w:rsid w:val="56F46302"/>
    <w:rsid w:val="5FDF0573"/>
    <w:rsid w:val="60C767CF"/>
    <w:rsid w:val="6A154999"/>
    <w:rsid w:val="6B624BEA"/>
    <w:rsid w:val="6D2B3C26"/>
    <w:rsid w:val="70657DB3"/>
    <w:rsid w:val="72CB2397"/>
    <w:rsid w:val="7476258E"/>
    <w:rsid w:val="75B40D24"/>
    <w:rsid w:val="75FFD81E"/>
    <w:rsid w:val="75FFEBD2"/>
    <w:rsid w:val="76E510DE"/>
    <w:rsid w:val="794331FB"/>
    <w:rsid w:val="7A4647B1"/>
    <w:rsid w:val="7D5F7A6E"/>
    <w:rsid w:val="7F7ADC92"/>
    <w:rsid w:val="7FBD9C64"/>
    <w:rsid w:val="B29B0379"/>
    <w:rsid w:val="D3B5BEDF"/>
    <w:rsid w:val="E79D79F5"/>
    <w:rsid w:val="EF7BCE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2"/>
      <w:lang w:val="en-US" w:eastAsia="zh-CN" w:bidi="ar-SA"/>
    </w:rPr>
  </w:style>
  <w:style w:type="paragraph" w:styleId="2">
    <w:name w:val="heading 1"/>
    <w:basedOn w:val="1"/>
    <w:next w:val="1"/>
    <w:link w:val="23"/>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5"/>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6"/>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17"/>
    <w:semiHidden/>
    <w:unhideWhenUsed/>
    <w:qFormat/>
    <w:uiPriority w:val="99"/>
    <w:pPr>
      <w:jc w:val="left"/>
    </w:pPr>
  </w:style>
  <w:style w:type="paragraph" w:styleId="7">
    <w:name w:val="Balloon Text"/>
    <w:basedOn w:val="1"/>
    <w:link w:val="19"/>
    <w:semiHidden/>
    <w:unhideWhenUsed/>
    <w:qFormat/>
    <w:uiPriority w:val="99"/>
    <w:rPr>
      <w:sz w:val="18"/>
      <w:szCs w:val="18"/>
    </w:rPr>
  </w:style>
  <w:style w:type="paragraph" w:styleId="8">
    <w:name w:val="footer"/>
    <w:basedOn w:val="1"/>
    <w:link w:val="21"/>
    <w:unhideWhenUsed/>
    <w:qFormat/>
    <w:uiPriority w:val="99"/>
    <w:pPr>
      <w:tabs>
        <w:tab w:val="center" w:pos="4153"/>
        <w:tab w:val="right" w:pos="8306"/>
      </w:tabs>
      <w:snapToGrid w:val="0"/>
      <w:jc w:val="left"/>
    </w:pPr>
    <w:rPr>
      <w:sz w:val="18"/>
      <w:szCs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itle"/>
    <w:basedOn w:val="1"/>
    <w:next w:val="1"/>
    <w:link w:val="22"/>
    <w:qFormat/>
    <w:uiPriority w:val="10"/>
    <w:pPr>
      <w:spacing w:before="240" w:after="60"/>
      <w:jc w:val="center"/>
      <w:outlineLvl w:val="0"/>
    </w:pPr>
    <w:rPr>
      <w:rFonts w:asciiTheme="majorHAnsi" w:hAnsiTheme="majorHAnsi" w:eastAsiaTheme="majorEastAsia" w:cstheme="majorBidi"/>
      <w:b/>
      <w:bCs/>
      <w:sz w:val="32"/>
      <w:szCs w:val="32"/>
    </w:rPr>
  </w:style>
  <w:style w:type="paragraph" w:styleId="11">
    <w:name w:val="annotation subject"/>
    <w:basedOn w:val="6"/>
    <w:next w:val="6"/>
    <w:link w:val="18"/>
    <w:semiHidden/>
    <w:unhideWhenUsed/>
    <w:qFormat/>
    <w:uiPriority w:val="99"/>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basedOn w:val="14"/>
    <w:unhideWhenUsed/>
    <w:qFormat/>
    <w:uiPriority w:val="99"/>
    <w:rPr>
      <w:color w:val="0563C1" w:themeColor="hyperlink"/>
      <w:u w:val="single"/>
      <w14:textFill>
        <w14:solidFill>
          <w14:schemeClr w14:val="hlink"/>
        </w14:solidFill>
      </w14:textFill>
    </w:rPr>
  </w:style>
  <w:style w:type="character" w:styleId="16">
    <w:name w:val="annotation reference"/>
    <w:basedOn w:val="14"/>
    <w:semiHidden/>
    <w:unhideWhenUsed/>
    <w:qFormat/>
    <w:uiPriority w:val="99"/>
    <w:rPr>
      <w:sz w:val="21"/>
      <w:szCs w:val="21"/>
    </w:rPr>
  </w:style>
  <w:style w:type="character" w:customStyle="1" w:styleId="17">
    <w:name w:val="批注文字 字符"/>
    <w:basedOn w:val="14"/>
    <w:link w:val="6"/>
    <w:semiHidden/>
    <w:qFormat/>
    <w:uiPriority w:val="99"/>
  </w:style>
  <w:style w:type="character" w:customStyle="1" w:styleId="18">
    <w:name w:val="批注主题 字符"/>
    <w:basedOn w:val="17"/>
    <w:link w:val="11"/>
    <w:semiHidden/>
    <w:qFormat/>
    <w:uiPriority w:val="99"/>
    <w:rPr>
      <w:b/>
      <w:bCs/>
    </w:rPr>
  </w:style>
  <w:style w:type="character" w:customStyle="1" w:styleId="19">
    <w:name w:val="批注框文本 字符"/>
    <w:basedOn w:val="14"/>
    <w:link w:val="7"/>
    <w:semiHidden/>
    <w:qFormat/>
    <w:uiPriority w:val="99"/>
    <w:rPr>
      <w:sz w:val="18"/>
      <w:szCs w:val="18"/>
    </w:rPr>
  </w:style>
  <w:style w:type="character" w:customStyle="1" w:styleId="20">
    <w:name w:val="页眉 字符"/>
    <w:basedOn w:val="14"/>
    <w:link w:val="9"/>
    <w:qFormat/>
    <w:uiPriority w:val="99"/>
    <w:rPr>
      <w:kern w:val="2"/>
      <w:sz w:val="18"/>
      <w:szCs w:val="18"/>
    </w:rPr>
  </w:style>
  <w:style w:type="character" w:customStyle="1" w:styleId="21">
    <w:name w:val="页脚 字符"/>
    <w:basedOn w:val="14"/>
    <w:link w:val="8"/>
    <w:qFormat/>
    <w:uiPriority w:val="99"/>
    <w:rPr>
      <w:kern w:val="2"/>
      <w:sz w:val="18"/>
      <w:szCs w:val="18"/>
    </w:rPr>
  </w:style>
  <w:style w:type="character" w:customStyle="1" w:styleId="22">
    <w:name w:val="标题 字符"/>
    <w:basedOn w:val="14"/>
    <w:link w:val="10"/>
    <w:qFormat/>
    <w:uiPriority w:val="10"/>
    <w:rPr>
      <w:rFonts w:asciiTheme="majorHAnsi" w:hAnsiTheme="majorHAnsi" w:eastAsiaTheme="majorEastAsia" w:cstheme="majorBidi"/>
      <w:b/>
      <w:bCs/>
      <w:kern w:val="2"/>
      <w:sz w:val="32"/>
      <w:szCs w:val="32"/>
    </w:rPr>
  </w:style>
  <w:style w:type="character" w:customStyle="1" w:styleId="23">
    <w:name w:val="标题 1 字符"/>
    <w:basedOn w:val="14"/>
    <w:link w:val="2"/>
    <w:qFormat/>
    <w:uiPriority w:val="9"/>
    <w:rPr>
      <w:b/>
      <w:bCs/>
      <w:kern w:val="44"/>
      <w:sz w:val="44"/>
      <w:szCs w:val="44"/>
    </w:rPr>
  </w:style>
  <w:style w:type="character" w:customStyle="1" w:styleId="24">
    <w:name w:val="标题 2 字符"/>
    <w:basedOn w:val="14"/>
    <w:link w:val="3"/>
    <w:qFormat/>
    <w:uiPriority w:val="9"/>
    <w:rPr>
      <w:rFonts w:asciiTheme="majorHAnsi" w:hAnsiTheme="majorHAnsi" w:eastAsiaTheme="majorEastAsia" w:cstheme="majorBidi"/>
      <w:b/>
      <w:bCs/>
      <w:kern w:val="2"/>
      <w:sz w:val="32"/>
      <w:szCs w:val="32"/>
    </w:rPr>
  </w:style>
  <w:style w:type="character" w:customStyle="1" w:styleId="25">
    <w:name w:val="标题 3 字符"/>
    <w:basedOn w:val="14"/>
    <w:link w:val="4"/>
    <w:qFormat/>
    <w:uiPriority w:val="9"/>
    <w:rPr>
      <w:b/>
      <w:bCs/>
      <w:kern w:val="2"/>
      <w:sz w:val="32"/>
      <w:szCs w:val="32"/>
    </w:rPr>
  </w:style>
  <w:style w:type="character" w:customStyle="1" w:styleId="26">
    <w:name w:val="标题 4 字符"/>
    <w:basedOn w:val="14"/>
    <w:link w:val="5"/>
    <w:qFormat/>
    <w:uiPriority w:val="9"/>
    <w:rPr>
      <w:rFonts w:asciiTheme="majorHAnsi" w:hAnsiTheme="majorHAnsi" w:eastAsiaTheme="majorEastAsia" w:cstheme="majorBidi"/>
      <w:b/>
      <w:bCs/>
      <w:kern w:val="2"/>
      <w:sz w:val="28"/>
      <w:szCs w:val="28"/>
    </w:rPr>
  </w:style>
  <w:style w:type="paragraph" w:styleId="27">
    <w:name w:val="List Paragraph"/>
    <w:basedOn w:val="1"/>
    <w:qFormat/>
    <w:uiPriority w:val="99"/>
    <w:pPr>
      <w:ind w:firstLine="420" w:firstLineChars="200"/>
    </w:pPr>
  </w:style>
  <w:style w:type="paragraph" w:customStyle="1" w:styleId="28">
    <w:name w:val="41正文"/>
    <w:basedOn w:val="29"/>
    <w:qFormat/>
    <w:uiPriority w:val="0"/>
    <w:pPr>
      <w:ind w:firstLine="200" w:firstLineChars="200"/>
    </w:pPr>
  </w:style>
  <w:style w:type="paragraph" w:customStyle="1" w:styleId="29">
    <w:name w:val="[系统文字]"/>
    <w:qFormat/>
    <w:uiPriority w:val="0"/>
    <w:pPr>
      <w:jc w:val="both"/>
    </w:pPr>
    <w:rPr>
      <w:rFonts w:hAnsi="NEU-BZ" w:asciiTheme="minorHAnsi" w:eastAsiaTheme="minorEastAsia" w:cstheme="minorBidi"/>
      <w:sz w:val="22"/>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sv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 </Company>
  <Pages>6</Pages>
  <Words>3610</Words>
  <Characters>4706</Characters>
  <Lines>16</Lines>
  <Paragraphs>4</Paragraphs>
  <TotalTime>10</TotalTime>
  <ScaleCrop>false</ScaleCrop>
  <LinksUpToDate>false</LinksUpToDate>
  <CharactersWithSpaces>4721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2023-05-26T11:02:00Z</dcterms:created>
  <dc:creator>liying</dc:creator>
  <cp:lastModifiedBy>algorist</cp:lastModifiedBy>
  <dcterms:modified xsi:type="dcterms:W3CDTF">2025-07-17T05:47:20Z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68D00EAFF197445AB98BE2FD122E3A5C_13</vt:lpwstr>
  </property>
  <property fmtid="{D5CDD505-2E9C-101B-9397-08002B2CF9AE}" pid="4" name="KSOTemplateDocerSaveRecord">
    <vt:lpwstr>eyJoZGlkIjoiMWM4MmVkOTA1MjFjYzMwZWNmZGFhODliZDBjZWU4YWMiLCJ1c2VySWQiOiI2OTAwNjQ3MTIifQ==</vt:lpwstr>
  </property>
</Properties>
</file>